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CE3" w:rsidRDefault="00AA435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:rsidR="00376CE3" w:rsidRDefault="00376CE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376CE3" w:rsidRDefault="00AA4354">
      <w:pPr>
        <w:pStyle w:val="Standard"/>
        <w:ind w:left="0" w:firstLine="0"/>
        <w:jc w:val="both"/>
        <w:outlineLvl w:val="9"/>
        <w:rPr>
          <w:rStyle w:val="Forte"/>
          <w:rFonts w:ascii="Arial" w:eastAsia="Merriweather" w:hAnsi="Arial" w:cs="Arial"/>
          <w:color w:val="000000"/>
        </w:rPr>
      </w:pPr>
      <w:r>
        <w:t xml:space="preserve">OBJETO: </w:t>
      </w:r>
      <w:r>
        <w:rPr>
          <w:rStyle w:val="Forte"/>
          <w:rFonts w:ascii="Arial" w:eastAsia="Merriweather" w:hAnsi="Arial" w:cs="Arial"/>
          <w:color w:val="000000"/>
        </w:rPr>
        <w:t>AQUIS</w:t>
      </w:r>
      <w:r w:rsidR="00C33D9D">
        <w:rPr>
          <w:rStyle w:val="Forte"/>
          <w:rFonts w:ascii="Arial" w:eastAsia="Merriweather" w:hAnsi="Arial" w:cs="Arial"/>
          <w:color w:val="000000"/>
        </w:rPr>
        <w:t xml:space="preserve">IÇÃO DE MATERIAIS DE CONSTRUÇÃO, INCLUSOS ITENS </w:t>
      </w:r>
      <w:r>
        <w:rPr>
          <w:rStyle w:val="Forte"/>
          <w:rFonts w:ascii="Arial" w:eastAsia="Merriweather" w:hAnsi="Arial" w:cs="Arial"/>
          <w:color w:val="000000"/>
        </w:rPr>
        <w:t>HIDRÁULICOS</w:t>
      </w:r>
      <w:r w:rsidR="00C33D9D">
        <w:rPr>
          <w:rStyle w:val="Forte"/>
          <w:rFonts w:ascii="Arial" w:eastAsia="Merriweather" w:hAnsi="Arial" w:cs="Arial"/>
          <w:color w:val="000000"/>
        </w:rPr>
        <w:t xml:space="preserve"> E ELÉTRICOS,</w:t>
      </w:r>
      <w:r>
        <w:rPr>
          <w:rStyle w:val="Forte"/>
          <w:rFonts w:ascii="Arial" w:eastAsia="Merriweather" w:hAnsi="Arial" w:cs="Arial"/>
          <w:color w:val="000000"/>
        </w:rPr>
        <w:t xml:space="preserve"> DESTINADOS À EXECUÇÃO DE SERVIÇOS COMPLEMENTARES REFERENTES À REFORMA DO TERMINAL RODOVIÁRIO DE BANDEIRANTES.</w:t>
      </w:r>
    </w:p>
    <w:p w:rsidR="00376CE3" w:rsidRDefault="00376CE3">
      <w:pPr>
        <w:pStyle w:val="Standard"/>
        <w:ind w:left="0" w:firstLine="0"/>
        <w:jc w:val="both"/>
        <w:outlineLvl w:val="9"/>
        <w:rPr>
          <w:rStyle w:val="Forte"/>
          <w:rFonts w:ascii="Arial" w:eastAsia="Merriweather" w:hAnsi="Arial" w:cs="Arial"/>
          <w:color w:val="000000"/>
        </w:rPr>
      </w:pPr>
    </w:p>
    <w:p w:rsidR="00376CE3" w:rsidRDefault="00AA4354">
      <w:pPr>
        <w:pStyle w:val="Standard"/>
        <w:ind w:left="0" w:firstLine="0"/>
        <w:jc w:val="both"/>
        <w:outlineLvl w:val="9"/>
      </w:pPr>
      <w:r>
        <w:t>RISCO 1: Planejamento deficiente: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CORREÇÃO DO RISCO: Realizar planejamento eficiente e quantificar adequadamente o objeto conforme a demanda atual da reforma predial.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2: Elaboração do Termo de Referência inadequado: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CORREÇÃO DO RISCO: Elaborar adequadamente o termo de referência conforme as características do objeto contratado e solicitar a revisão deste, pelo setor competente. 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3: Atraso de entregas: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CORREÇÃO DO RISCO: Estipular no Edital prazos condizentes com a classificação do objeto, para que a empresa tenha tempo hábil de realizar a entrega e caso mesmo assim não consigam e não apresentem justificativas, a mesma deverá ser notificada.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4: Aquisição com preço acima da média do mercado: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CORREÇÃO DO RISCO: Realização de pesquisa de preço de acordo com o Decreto Municipal de nº 3.537/2023 onde no seu Art.368 trata dos Orçamentos Estimativos para Contratação de Bens e Serviços.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5: Responsável pela gestão e fiscalização do contrato não detém as competências multidisciplinares e/ou condições necessárias à execução da atividade: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376CE3" w:rsidRDefault="00AA43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CORREÇÃO DO RISCO: Buscar por profissional apto a exercer a função, principalmente no recebimento do bem, para que não sejam aceitos produtos que não estão condizentes com o termo de referência.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6: Descumprimento das exigências do modelo de execução do objeto: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CORREÇÃO DO RISCO: A empresa vencedora deverá observar as exigências solicitadas, para que o objeto seja realizado conforme o programado.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7: Falha nas especificações dos materiais: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CORREÇÃO DO RISCO: A equipe técnica da contratação, deverá formular descritivos condizentes com as necessidades, para que não sejam entregues materiais incompatíveis com a necessidade.</w:t>
      </w: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RISCO 8: Desvio de finalidade dos materiais, sendo utilizados em outras reformas: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76CE3">
        <w:tc>
          <w:tcPr>
            <w:tcW w:w="226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376CE3" w:rsidRDefault="00AA4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CORREÇÃO DO RISCO: O responsável pelo recebimento, deverá destinar </w:t>
      </w:r>
      <w:r w:rsidR="00C33D9D">
        <w:rPr>
          <w:rFonts w:ascii="Times New Roman" w:hAnsi="Times New Roman" w:cs="Times New Roman"/>
          <w:sz w:val="24"/>
          <w:szCs w:val="24"/>
        </w:rPr>
        <w:t>os materiais</w:t>
      </w:r>
      <w:r>
        <w:rPr>
          <w:rFonts w:ascii="Times New Roman" w:hAnsi="Times New Roman" w:cs="Times New Roman"/>
          <w:sz w:val="24"/>
          <w:szCs w:val="24"/>
        </w:rPr>
        <w:t xml:space="preserve"> para sua finalidade, fazendo o controle correto do estoque, onde poderá acarretar no prejuízo da reforma do terminal.</w:t>
      </w:r>
      <w:bookmarkStart w:id="0" w:name="_GoBack"/>
      <w:bookmarkEnd w:id="0"/>
    </w:p>
    <w:p w:rsidR="00124067" w:rsidRDefault="00124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4067" w:rsidRPr="00124067" w:rsidRDefault="00124067" w:rsidP="00124067">
      <w:pPr>
        <w:jc w:val="both"/>
        <w:rPr>
          <w:rFonts w:ascii="Times New Roman" w:hAnsi="Times New Roman" w:cs="Times New Roman"/>
          <w:sz w:val="24"/>
          <w:szCs w:val="24"/>
        </w:rPr>
      </w:pPr>
      <w:r w:rsidRPr="00124067">
        <w:rPr>
          <w:rFonts w:ascii="Times New Roman" w:hAnsi="Times New Roman" w:cs="Times New Roman"/>
          <w:sz w:val="24"/>
          <w:szCs w:val="24"/>
        </w:rPr>
        <w:t>RISCO 9: Solicitação de Reequilíbrio Econômico Financeiro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124067" w:rsidRPr="00124067" w:rsidTr="00124067">
        <w:tc>
          <w:tcPr>
            <w:tcW w:w="2263" w:type="dxa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124067" w:rsidRPr="00124067" w:rsidTr="00AB7DCF">
        <w:tc>
          <w:tcPr>
            <w:tcW w:w="2263" w:type="dxa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:rsidR="00124067" w:rsidRPr="00124067" w:rsidRDefault="00124067" w:rsidP="00124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7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:rsidR="00124067" w:rsidRPr="00124067" w:rsidRDefault="00124067" w:rsidP="00124067">
      <w:pPr>
        <w:jc w:val="both"/>
        <w:rPr>
          <w:rFonts w:ascii="Times New Roman" w:hAnsi="Times New Roman" w:cs="Times New Roman"/>
          <w:sz w:val="24"/>
          <w:szCs w:val="24"/>
        </w:rPr>
      </w:pPr>
      <w:r w:rsidRPr="00124067">
        <w:rPr>
          <w:rFonts w:ascii="Times New Roman" w:hAnsi="Times New Roman" w:cs="Times New Roman"/>
          <w:sz w:val="24"/>
          <w:szCs w:val="24"/>
        </w:rPr>
        <w:t xml:space="preserve">CORREÇÃO DO RISCO: A empresa deverá respeitar os prazos para tal solicitação conforme descritos em edital. Considerando ainda que as partes impactadas ficam obrigadas a arcar com prejuízos de </w:t>
      </w:r>
      <w:r w:rsidRPr="00124067">
        <w:rPr>
          <w:rFonts w:ascii="Times New Roman" w:hAnsi="Times New Roman" w:cs="Times New Roman"/>
          <w:sz w:val="24"/>
          <w:szCs w:val="24"/>
          <w:u w:val="single"/>
        </w:rPr>
        <w:t>até 5%</w:t>
      </w:r>
      <w:r w:rsidRPr="00124067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:rsidR="00124067" w:rsidRDefault="00124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9543C7">
        <w:rPr>
          <w:rFonts w:ascii="Times New Roman" w:hAnsi="Times New Roman" w:cs="Times New Roman"/>
          <w:sz w:val="24"/>
          <w:szCs w:val="24"/>
        </w:rPr>
        <w:t xml:space="preserve">15 de dezembro </w:t>
      </w:r>
      <w:r>
        <w:rPr>
          <w:rFonts w:ascii="Times New Roman" w:hAnsi="Times New Roman" w:cs="Times New Roman"/>
          <w:sz w:val="24"/>
          <w:szCs w:val="24"/>
        </w:rPr>
        <w:t>de 2025</w:t>
      </w:r>
    </w:p>
    <w:p w:rsidR="00376CE3" w:rsidRDefault="00376CE3">
      <w:pPr>
        <w:suppressAutoHyphens/>
        <w:spacing w:after="0" w:line="1" w:lineRule="atLeast"/>
        <w:ind w:right="-426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:rsidR="00C33D9D" w:rsidRDefault="00C33D9D">
      <w:pPr>
        <w:suppressAutoHyphens/>
        <w:spacing w:after="0" w:line="1" w:lineRule="atLeast"/>
        <w:ind w:right="-426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:rsidR="00C33D9D" w:rsidRDefault="00C33D9D">
      <w:pPr>
        <w:suppressAutoHyphens/>
        <w:spacing w:after="0" w:line="1" w:lineRule="atLeast"/>
        <w:ind w:right="-426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:rsidR="00376CE3" w:rsidRDefault="00AA4354">
      <w:pPr>
        <w:suppressAutoHyphens/>
        <w:spacing w:after="0" w:line="1" w:lineRule="atLeast"/>
        <w:ind w:leftChars="-1" w:right="-426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_________________________________</w:t>
      </w:r>
    </w:p>
    <w:p w:rsidR="00376CE3" w:rsidRDefault="00AA4354">
      <w:pPr>
        <w:suppressAutoHyphens/>
        <w:spacing w:after="0" w:line="1" w:lineRule="atLeast"/>
        <w:ind w:leftChars="-1" w:right="-426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 AMANDA FREZZATO CATELAN</w:t>
      </w:r>
    </w:p>
    <w:p w:rsidR="00376CE3" w:rsidRDefault="00AA4354">
      <w:pPr>
        <w:suppressAutoHyphens/>
        <w:spacing w:after="0" w:line="1" w:lineRule="atLeast"/>
        <w:ind w:leftChars="-1" w:right="-426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  <w:t>Secretária de Obras, Serviços e Desenvolvimento Urbano</w:t>
      </w:r>
    </w:p>
    <w:p w:rsidR="00376CE3" w:rsidRDefault="00376CE3">
      <w:pPr>
        <w:suppressAutoHyphens/>
        <w:spacing w:after="0" w:line="1" w:lineRule="atLeast"/>
        <w:ind w:right="-426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:rsidR="00376CE3" w:rsidRDefault="00376CE3">
      <w:pPr>
        <w:suppressAutoHyphens/>
        <w:spacing w:after="0" w:line="36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kern w:val="0"/>
          <w:position w:val="-1"/>
          <w:lang w:eastAsia="pt-BR"/>
          <w14:ligatures w14:val="none"/>
        </w:rPr>
      </w:pPr>
    </w:p>
    <w:p w:rsidR="00376CE3" w:rsidRDefault="00376C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6CE3" w:rsidRDefault="00AA43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6CE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A7C" w:rsidRDefault="00526A7C">
      <w:pPr>
        <w:spacing w:line="240" w:lineRule="auto"/>
      </w:pPr>
      <w:r>
        <w:separator/>
      </w:r>
    </w:p>
  </w:endnote>
  <w:endnote w:type="continuationSeparator" w:id="0">
    <w:p w:rsidR="00526A7C" w:rsidRDefault="00526A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Microsoft YaHei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A7C" w:rsidRDefault="00526A7C">
      <w:pPr>
        <w:spacing w:after="0"/>
      </w:pPr>
      <w:r>
        <w:separator/>
      </w:r>
    </w:p>
  </w:footnote>
  <w:footnote w:type="continuationSeparator" w:id="0">
    <w:p w:rsidR="00526A7C" w:rsidRDefault="00526A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CE3" w:rsidRDefault="00AA4354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  <w:spacing w:val="60"/>
      </w:rPr>
      <w:t>PREFEITURA MUNICIPAL DE BANDEIRANTES</w:t>
    </w:r>
  </w:p>
  <w:p w:rsidR="00376CE3" w:rsidRDefault="00AA4354">
    <w:pPr>
      <w:spacing w:after="120" w:line="240" w:lineRule="auto"/>
      <w:jc w:val="center"/>
      <w:rPr>
        <w:i/>
      </w:rPr>
    </w:pPr>
    <w:r>
      <w:rPr>
        <w:i/>
      </w:rPr>
      <w:t>ESTADO DO PARANÁ</w:t>
    </w:r>
  </w:p>
  <w:p w:rsidR="00376CE3" w:rsidRDefault="00AA4354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>
      <w:rPr>
        <w:i/>
      </w:rPr>
      <w:t xml:space="preserve"> </w:t>
    </w:r>
  </w:p>
  <w:p w:rsidR="00376CE3" w:rsidRDefault="00376CE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81A79"/>
    <w:rsid w:val="000905F8"/>
    <w:rsid w:val="000A074C"/>
    <w:rsid w:val="000A5AF0"/>
    <w:rsid w:val="000E21BD"/>
    <w:rsid w:val="00124067"/>
    <w:rsid w:val="00125E0F"/>
    <w:rsid w:val="00153B80"/>
    <w:rsid w:val="00175788"/>
    <w:rsid w:val="00230D05"/>
    <w:rsid w:val="002526E3"/>
    <w:rsid w:val="0026116F"/>
    <w:rsid w:val="0028089D"/>
    <w:rsid w:val="002828D7"/>
    <w:rsid w:val="002C4186"/>
    <w:rsid w:val="0030071A"/>
    <w:rsid w:val="003451CE"/>
    <w:rsid w:val="00376CE3"/>
    <w:rsid w:val="00387AD3"/>
    <w:rsid w:val="003A666E"/>
    <w:rsid w:val="003B42B2"/>
    <w:rsid w:val="003B44BF"/>
    <w:rsid w:val="003F0EDD"/>
    <w:rsid w:val="004139ED"/>
    <w:rsid w:val="00420B03"/>
    <w:rsid w:val="00424222"/>
    <w:rsid w:val="00450819"/>
    <w:rsid w:val="00454A7D"/>
    <w:rsid w:val="00475328"/>
    <w:rsid w:val="004B6BF9"/>
    <w:rsid w:val="004F18CB"/>
    <w:rsid w:val="00526A7C"/>
    <w:rsid w:val="00547561"/>
    <w:rsid w:val="00562E2A"/>
    <w:rsid w:val="00564693"/>
    <w:rsid w:val="00691CA0"/>
    <w:rsid w:val="006A0971"/>
    <w:rsid w:val="00703420"/>
    <w:rsid w:val="00721FB5"/>
    <w:rsid w:val="00754E99"/>
    <w:rsid w:val="00782EA0"/>
    <w:rsid w:val="007A3063"/>
    <w:rsid w:val="007C7F48"/>
    <w:rsid w:val="008640FA"/>
    <w:rsid w:val="00864449"/>
    <w:rsid w:val="00896DFD"/>
    <w:rsid w:val="008D5872"/>
    <w:rsid w:val="009535B3"/>
    <w:rsid w:val="009543C7"/>
    <w:rsid w:val="009627D8"/>
    <w:rsid w:val="009A032C"/>
    <w:rsid w:val="009B4D32"/>
    <w:rsid w:val="00A424B5"/>
    <w:rsid w:val="00A777B5"/>
    <w:rsid w:val="00AA4354"/>
    <w:rsid w:val="00AA446D"/>
    <w:rsid w:val="00AB0F3B"/>
    <w:rsid w:val="00AB65CE"/>
    <w:rsid w:val="00AD0D57"/>
    <w:rsid w:val="00BB69F2"/>
    <w:rsid w:val="00C3281D"/>
    <w:rsid w:val="00C33D9D"/>
    <w:rsid w:val="00C5027F"/>
    <w:rsid w:val="00C90FB8"/>
    <w:rsid w:val="00C9577B"/>
    <w:rsid w:val="00CB62FF"/>
    <w:rsid w:val="00CE7A2E"/>
    <w:rsid w:val="00D5207C"/>
    <w:rsid w:val="00D87946"/>
    <w:rsid w:val="00DB0268"/>
    <w:rsid w:val="00DB473E"/>
    <w:rsid w:val="00DD51B3"/>
    <w:rsid w:val="00DF2038"/>
    <w:rsid w:val="00E35079"/>
    <w:rsid w:val="00E52AAA"/>
    <w:rsid w:val="00EA4667"/>
    <w:rsid w:val="00EA7653"/>
    <w:rsid w:val="00EB1764"/>
    <w:rsid w:val="00EB5773"/>
    <w:rsid w:val="00EC6BC8"/>
    <w:rsid w:val="00F66668"/>
    <w:rsid w:val="00F746A9"/>
    <w:rsid w:val="00FD7423"/>
    <w:rsid w:val="00FD7B7D"/>
    <w:rsid w:val="00FF3156"/>
    <w:rsid w:val="07B07997"/>
    <w:rsid w:val="0C76540E"/>
    <w:rsid w:val="6621530A"/>
    <w:rsid w:val="7BBE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260BD-0C67-40D1-80BE-0CE4C782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qFormat/>
    <w:rPr>
      <w:b/>
      <w:bCs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rPr>
      <w:kern w:val="2"/>
      <w:sz w:val="22"/>
      <w:szCs w:val="22"/>
      <w:lang w:eastAsia="en-US"/>
      <w14:ligatures w14:val="standardContextual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autoSpaceDN w:val="0"/>
      <w:spacing w:line="1" w:lineRule="atLeast"/>
      <w:ind w:left="-1" w:hanging="1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517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Usuario</cp:lastModifiedBy>
  <cp:revision>5</cp:revision>
  <cp:lastPrinted>2025-03-27T13:03:00Z</cp:lastPrinted>
  <dcterms:created xsi:type="dcterms:W3CDTF">2025-11-17T12:22:00Z</dcterms:created>
  <dcterms:modified xsi:type="dcterms:W3CDTF">2025-12-15T11:58:00Z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1046-12.2.0.23155</vt:lpwstr>
  </property>
  <property fmtid="{D5CDD505-2E9C-101B-9397-08002B2CF9AE}" pid="3" name="ICV">
    <vt:lpwstr>0DCCE44C185B499984EE277F7B3A3102_13</vt:lpwstr>
  </property>
</Properties>
</file>